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69BDFD2E" w:rsidR="000B708F" w:rsidRPr="004D10D1" w:rsidRDefault="000B708F" w:rsidP="00B20531">
      <w:pPr>
        <w:rPr>
          <w:rFonts w:ascii="Arial" w:hAnsi="Arial"/>
          <w:sz w:val="20"/>
          <w:szCs w:val="20"/>
        </w:rPr>
      </w:pPr>
      <w:r w:rsidRPr="004D10D1">
        <w:rPr>
          <w:rFonts w:ascii="Arial" w:hAnsi="Arial"/>
          <w:sz w:val="20"/>
          <w:szCs w:val="20"/>
        </w:rPr>
        <w:t>W</w:t>
      </w:r>
      <w:r w:rsidR="000D6BF8">
        <w:rPr>
          <w:rFonts w:ascii="Arial" w:hAnsi="Arial"/>
          <w:sz w:val="20"/>
          <w:szCs w:val="20"/>
        </w:rPr>
        <w:t xml:space="preserve">e </w:t>
      </w:r>
      <w:r w:rsidR="000D6BF8" w:rsidRPr="000D6BF8">
        <w:rPr>
          <w:rFonts w:ascii="Arial" w:hAnsi="Arial"/>
          <w:sz w:val="20"/>
          <w:szCs w:val="20"/>
        </w:rPr>
        <w:t>babyballet Crystal Palace</w:t>
      </w:r>
      <w:r w:rsidR="00635428" w:rsidRPr="004D10D1">
        <w:rPr>
          <w:rFonts w:ascii="Arial" w:hAnsi="Arial"/>
          <w:sz w:val="20"/>
          <w:szCs w:val="20"/>
        </w:rPr>
        <w:t xml:space="preserve"> 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0D6BF8">
        <w:rPr>
          <w:rFonts w:ascii="Arial" w:hAnsi="Arial"/>
          <w:color w:val="000000"/>
          <w:sz w:val="20"/>
          <w:szCs w:val="20"/>
        </w:rPr>
        <w:lastRenderedPageBreak/>
        <w:t>clearly unfounded, repetitive or excessive in which case we may charge a reasonable fee or decline to</w:t>
      </w:r>
      <w:r w:rsidR="00423141" w:rsidRPr="00423141">
        <w:rPr>
          <w:rFonts w:ascii="Arial" w:hAnsi="Arial"/>
          <w:color w:val="000000"/>
          <w:sz w:val="20"/>
          <w:szCs w:val="20"/>
        </w:rPr>
        <w:t xml:space="preserve">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6496E97D"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0D6BF8">
        <w:rPr>
          <w:rFonts w:ascii="Arial" w:hAnsi="Arial"/>
          <w:color w:val="000000"/>
          <w:sz w:val="20"/>
          <w:szCs w:val="20"/>
        </w:rPr>
        <w:t xml:space="preserve"> </w:t>
      </w:r>
      <w:hyperlink r:id="rId11" w:history="1">
        <w:r w:rsidR="000D6BF8" w:rsidRPr="00563A90">
          <w:rPr>
            <w:rStyle w:val="Hyperlink"/>
            <w:rFonts w:ascii="Arial" w:hAnsi="Arial"/>
            <w:sz w:val="20"/>
            <w:szCs w:val="20"/>
          </w:rPr>
          <w:t>crystalpalace@babyballet.co.uk</w:t>
        </w:r>
      </w:hyperlink>
      <w:r w:rsidR="000D6BF8">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12A85188" w:rsidR="00681409" w:rsidRPr="00867858" w:rsidRDefault="00681409" w:rsidP="00B20531">
      <w:pPr>
        <w:shd w:val="clear" w:color="auto" w:fill="FFFFFF"/>
        <w:spacing w:before="120" w:after="120"/>
        <w:rPr>
          <w:rFonts w:ascii="Arial" w:hAnsi="Arial"/>
          <w:b/>
          <w:bCs w:val="0"/>
          <w:kern w:val="0"/>
          <w:sz w:val="20"/>
          <w:szCs w:val="20"/>
          <w:lang w:eastAsia="en-GB"/>
        </w:rPr>
      </w:pPr>
      <w:r w:rsidRPr="000D6BF8">
        <w:rPr>
          <w:rFonts w:ascii="Arial" w:hAnsi="Arial"/>
          <w:bCs w:val="0"/>
          <w:kern w:val="0"/>
          <w:sz w:val="20"/>
          <w:szCs w:val="20"/>
          <w:lang w:eastAsia="en-GB"/>
        </w:rPr>
        <w:t>Every marketing email from</w:t>
      </w:r>
      <w:r w:rsidR="000D6BF8" w:rsidRPr="000D6BF8">
        <w:rPr>
          <w:rFonts w:ascii="Arial" w:hAnsi="Arial"/>
          <w:bCs w:val="0"/>
          <w:kern w:val="0"/>
          <w:sz w:val="20"/>
          <w:szCs w:val="20"/>
          <w:lang w:eastAsia="en-GB"/>
        </w:rPr>
        <w:t xml:space="preserve"> babyballet Crystal </w:t>
      </w:r>
      <w:proofErr w:type="spellStart"/>
      <w:r w:rsidR="000D6BF8" w:rsidRPr="000D6BF8">
        <w:rPr>
          <w:rFonts w:ascii="Arial" w:hAnsi="Arial"/>
          <w:bCs w:val="0"/>
          <w:kern w:val="0"/>
          <w:sz w:val="20"/>
          <w:szCs w:val="20"/>
          <w:lang w:eastAsia="en-GB"/>
        </w:rPr>
        <w:t xml:space="preserve">Palace </w:t>
      </w:r>
      <w:proofErr w:type="spellEnd"/>
      <w:r w:rsidRPr="000D6BF8">
        <w:rPr>
          <w:rFonts w:ascii="Arial" w:hAnsi="Arial"/>
          <w:bCs w:val="0"/>
          <w:kern w:val="0"/>
          <w:sz w:val="20"/>
          <w:szCs w:val="20"/>
          <w:lang w:eastAsia="en-GB"/>
        </w:rPr>
        <w:t>includes instructions on how to opt-out of receiving further marketing emails from</w:t>
      </w:r>
      <w:r w:rsidR="000D6BF8" w:rsidRPr="000D6BF8">
        <w:rPr>
          <w:rFonts w:ascii="Arial" w:hAnsi="Arial"/>
          <w:bCs w:val="0"/>
          <w:kern w:val="0"/>
          <w:sz w:val="20"/>
          <w:szCs w:val="20"/>
          <w:lang w:eastAsia="en-GB"/>
        </w:rPr>
        <w:t xml:space="preserve"> babyballet Crystal Palace.</w:t>
      </w:r>
      <w:r w:rsidR="000D6BF8">
        <w:rPr>
          <w:rFonts w:ascii="Arial" w:hAnsi="Arial"/>
          <w:bCs w:val="0"/>
          <w:kern w:val="0"/>
          <w:sz w:val="20"/>
          <w:szCs w:val="20"/>
          <w:lang w:eastAsia="en-GB"/>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6610D5B4"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bookmarkStart w:id="0" w:name="_GoBack"/>
      <w:bookmarkEnd w:id="0"/>
      <w:r w:rsidRPr="000D6BF8">
        <w:rPr>
          <w:rFonts w:ascii="Arial" w:hAnsi="Arial"/>
          <w:sz w:val="20"/>
          <w:szCs w:val="20"/>
        </w:rPr>
        <w:t>All comments, queries and requests relating to our use of your information are welcomed and should be e-mailed or sent to us at</w:t>
      </w:r>
      <w:r w:rsidR="000D6BF8" w:rsidRPr="000D6BF8">
        <w:rPr>
          <w:rFonts w:ascii="Arial" w:hAnsi="Arial"/>
          <w:sz w:val="20"/>
          <w:szCs w:val="20"/>
        </w:rPr>
        <w:t xml:space="preserve"> </w:t>
      </w:r>
      <w:hyperlink r:id="rId12" w:history="1">
        <w:r w:rsidR="000D6BF8" w:rsidRPr="000D6BF8">
          <w:rPr>
            <w:rStyle w:val="Hyperlink"/>
            <w:rFonts w:ascii="Arial" w:hAnsi="Arial"/>
            <w:sz w:val="20"/>
            <w:szCs w:val="20"/>
          </w:rPr>
          <w:t>crystalpalace@babyballet.co.uk</w:t>
        </w:r>
      </w:hyperlink>
      <w:r w:rsidR="000D6BF8" w:rsidRPr="000D6BF8">
        <w:rPr>
          <w:rFonts w:ascii="Arial" w:hAnsi="Arial"/>
          <w:sz w:val="20"/>
          <w:szCs w:val="20"/>
        </w:rPr>
        <w:t xml:space="preserve"> </w:t>
      </w:r>
      <w:proofErr w:type="gramStart"/>
      <w:r w:rsidR="000D6BF8" w:rsidRPr="000D6BF8">
        <w:rPr>
          <w:rFonts w:ascii="Arial" w:hAnsi="Arial"/>
          <w:sz w:val="20"/>
          <w:szCs w:val="20"/>
        </w:rPr>
        <w:t xml:space="preserve">/ </w:t>
      </w:r>
      <w:r w:rsidRPr="000D6BF8">
        <w:rPr>
          <w:rFonts w:ascii="Arial" w:hAnsi="Arial"/>
          <w:sz w:val="20"/>
          <w:szCs w:val="20"/>
        </w:rPr>
        <w:t xml:space="preserve"> </w:t>
      </w:r>
      <w:r w:rsidR="000D6BF8" w:rsidRPr="000D6BF8">
        <w:rPr>
          <w:rFonts w:ascii="Arial" w:hAnsi="Arial"/>
          <w:sz w:val="20"/>
          <w:szCs w:val="20"/>
        </w:rPr>
        <w:t>Flat</w:t>
      </w:r>
      <w:proofErr w:type="gramEnd"/>
      <w:r w:rsidR="000D6BF8" w:rsidRPr="000D6BF8">
        <w:rPr>
          <w:rFonts w:ascii="Arial" w:hAnsi="Arial"/>
          <w:sz w:val="20"/>
          <w:szCs w:val="20"/>
        </w:rPr>
        <w:t xml:space="preserve"> 3 Lynn Court, 36 Southend Road, Beckenham, Kent, BR3 5AB.</w:t>
      </w:r>
      <w:r w:rsidR="000D6BF8">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DD817" w14:textId="77777777" w:rsidR="008E1093" w:rsidRDefault="008E1093" w:rsidP="00626192">
      <w:r>
        <w:separator/>
      </w:r>
    </w:p>
  </w:endnote>
  <w:endnote w:type="continuationSeparator" w:id="0">
    <w:p w14:paraId="7CE55309" w14:textId="77777777" w:rsidR="008E1093" w:rsidRDefault="008E1093"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CC599" w14:textId="77777777" w:rsidR="008E1093" w:rsidRDefault="008E1093" w:rsidP="00626192">
      <w:r>
        <w:separator/>
      </w:r>
    </w:p>
  </w:footnote>
  <w:footnote w:type="continuationSeparator" w:id="0">
    <w:p w14:paraId="35B73601" w14:textId="77777777" w:rsidR="008E1093" w:rsidRDefault="008E1093"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0D6BF8"/>
    <w:rsid w:val="00130C4F"/>
    <w:rsid w:val="0014552B"/>
    <w:rsid w:val="001951C6"/>
    <w:rsid w:val="001E6BD9"/>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8E1093"/>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rystalpalace@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ystalpalace@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2018-06-21T15:41:00Z</dcterms:created>
  <dcterms:modified xsi:type="dcterms:W3CDTF">2018-06-21T15:41:00Z</dcterms:modified>
</cp:coreProperties>
</file>